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1E6D830F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BB32FC">
        <w:t>3</w:t>
      </w:r>
      <w:r>
        <w:t>.2018”.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03E70DF5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7B825726" w14:textId="4BAB40F0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2564357" w14:textId="77777777" w:rsidR="000E0A0C" w:rsidRDefault="000E0A0C" w:rsidP="000E0A0C">
      <w:pPr>
        <w:pStyle w:val="NormalnyWeb"/>
      </w:pPr>
    </w:p>
    <w:p w14:paraId="5262483B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1F79E14B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1C4B644" w14:textId="77777777" w:rsidR="000E0A0C" w:rsidRDefault="000E0A0C" w:rsidP="000E0A0C">
      <w:pPr>
        <w:pStyle w:val="NormalnyWeb"/>
      </w:pPr>
    </w:p>
    <w:p w14:paraId="12911524" w14:textId="6C62ADA6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rekrutacyjnego o nr PO IV WOS 1111.</w:t>
      </w:r>
      <w:r w:rsidR="00BB32FC">
        <w:t>3</w:t>
      </w:r>
      <w:r>
        <w:t xml:space="preserve">  .2018”</w:t>
      </w:r>
      <w:r w:rsidR="003A25AE">
        <w:t xml:space="preserve"> </w:t>
      </w:r>
      <w:r>
        <w:t>oraz w kolejnych naborach kandydatów organizowan</w:t>
      </w:r>
      <w:bookmarkStart w:id="0" w:name="_GoBack"/>
      <w:bookmarkEnd w:id="0"/>
      <w:r>
        <w:t>ych przez Prokuraturę Okręgową w Zielonej Górze.”</w:t>
      </w:r>
    </w:p>
    <w:p w14:paraId="62E4AFA9" w14:textId="77777777" w:rsidR="000E0A0C" w:rsidRDefault="000E0A0C" w:rsidP="000E0A0C">
      <w:pPr>
        <w:pStyle w:val="NormalnyWeb"/>
        <w:jc w:val="center"/>
      </w:pPr>
    </w:p>
    <w:p w14:paraId="7A33DF5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30B79CD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3A25AE"/>
    <w:rsid w:val="006E55B5"/>
    <w:rsid w:val="00736F94"/>
    <w:rsid w:val="00AA1D35"/>
    <w:rsid w:val="00BB32FC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6</cp:revision>
  <dcterms:created xsi:type="dcterms:W3CDTF">2018-06-26T06:42:00Z</dcterms:created>
  <dcterms:modified xsi:type="dcterms:W3CDTF">2018-06-26T06:53:00Z</dcterms:modified>
</cp:coreProperties>
</file>